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7C9F" w14:textId="29027B1A" w:rsidR="0092271A" w:rsidRPr="000C3EEB" w:rsidRDefault="0092271A" w:rsidP="0092271A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</w:pPr>
      <w:bookmarkStart w:id="0" w:name="_Hlk156574858"/>
      <w:r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>7</w:t>
      </w:r>
      <w:r w:rsidRPr="000C3EEB"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 xml:space="preserve"> </w:t>
      </w:r>
      <w:r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 xml:space="preserve">May </w:t>
      </w:r>
      <w:r w:rsidRPr="000C3EEB"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>2025</w:t>
      </w:r>
      <w:r w:rsidR="00ED4665"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 xml:space="preserve"> </w:t>
      </w:r>
    </w:p>
    <w:p w14:paraId="66C2EAA5" w14:textId="2D7C2AC3" w:rsidR="0092271A" w:rsidRPr="000C3EEB" w:rsidRDefault="00F52FB9" w:rsidP="0092271A">
      <w:pPr>
        <w:spacing w:before="240" w:after="240" w:line="276" w:lineRule="auto"/>
        <w:jc w:val="center"/>
        <w:rPr>
          <w:rFonts w:ascii="Poppins" w:eastAsia="Calibri" w:hAnsi="Poppins" w:cs="Poppins"/>
          <w:b/>
          <w:bCs/>
          <w:kern w:val="2"/>
          <w:sz w:val="22"/>
          <w:szCs w:val="24"/>
          <w:lang w:eastAsia="en-GB"/>
          <w14:ligatures w14:val="standardContextual"/>
        </w:rPr>
      </w:pPr>
      <w:r w:rsidRPr="00F518E6">
        <w:rPr>
          <w:rFonts w:ascii="Poppins" w:eastAsia="Calibri" w:hAnsi="Poppins" w:cs="Poppins"/>
          <w:b/>
          <w:bCs/>
          <w:kern w:val="2"/>
          <w:sz w:val="22"/>
          <w:szCs w:val="24"/>
          <w:lang w:eastAsia="en-GB"/>
          <w14:ligatures w14:val="standardContextual"/>
        </w:rPr>
        <w:t>Shining a light on</w:t>
      </w:r>
      <w:r w:rsidR="0092271A" w:rsidRPr="00F518E6">
        <w:rPr>
          <w:rFonts w:ascii="Poppins" w:eastAsia="Calibri" w:hAnsi="Poppins" w:cs="Poppins"/>
          <w:b/>
          <w:bCs/>
          <w:kern w:val="2"/>
          <w:sz w:val="22"/>
          <w:szCs w:val="24"/>
          <w:lang w:eastAsia="en-GB"/>
          <w14:ligatures w14:val="standardContextual"/>
        </w:rPr>
        <w:t xml:space="preserve"> Bimberi Youth Justice Centre</w:t>
      </w:r>
    </w:p>
    <w:p w14:paraId="480F9B12" w14:textId="4A456930" w:rsidR="0092271A" w:rsidRDefault="0092271A" w:rsidP="0092271A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The </w:t>
      </w:r>
      <w:hyperlink r:id="rId8" w:history="1">
        <w:r w:rsidRPr="002542C7">
          <w:rPr>
            <w:rStyle w:val="Hyperlink"/>
            <w:rFonts w:ascii="Poppins" w:eastAsia="Calibri" w:hAnsi="Poppins" w:cs="Poppins"/>
            <w:kern w:val="2"/>
            <w:sz w:val="22"/>
            <w:szCs w:val="24"/>
            <w:lang w:eastAsia="en-GB"/>
            <w14:ligatures w14:val="standardContextual"/>
          </w:rPr>
          <w:t>ACT National Preventive Mechanism</w:t>
        </w:r>
      </w:hyperlink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(</w:t>
      </w:r>
      <w:r w:rsidRPr="0092271A">
        <w:rPr>
          <w:rFonts w:ascii="Poppins" w:eastAsia="Calibri" w:hAnsi="Poppins" w:cs="Poppins"/>
          <w:b/>
          <w:bCs/>
          <w:kern w:val="2"/>
          <w:sz w:val="22"/>
          <w:szCs w:val="24"/>
          <w:lang w:eastAsia="en-GB"/>
          <w14:ligatures w14:val="standardContextual"/>
        </w:rPr>
        <w:t>ACT NPM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) has </w:t>
      </w:r>
      <w:r w:rsidR="00930D2F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today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undertaken its first</w:t>
      </w:r>
      <w:r w:rsidR="007F53DD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joint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visit to the </w:t>
      </w:r>
      <w:proofErr w:type="spellStart"/>
      <w:r w:rsidRPr="0092271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Bimberi</w:t>
      </w:r>
      <w:proofErr w:type="spellEnd"/>
      <w:r w:rsidRPr="0092271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Youth Justice Centre</w:t>
      </w:r>
      <w:r w:rsidR="00F52FB9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.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</w:t>
      </w:r>
    </w:p>
    <w:p w14:paraId="4A751D7E" w14:textId="4F96FAA8" w:rsidR="002542C7" w:rsidRDefault="0092271A" w:rsidP="0092271A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The ACT NPM comprises the ACT</w:t>
      </w:r>
      <w:r w:rsidRPr="00AA0B9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Human Rights Commission, the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ACT</w:t>
      </w:r>
      <w:r w:rsidRPr="00AA0B9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Custodial Inspector</w:t>
      </w:r>
      <w:r w:rsidR="00855AC5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,</w:t>
      </w:r>
      <w:r w:rsidRPr="00AA0B9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and the ACT Ombudsman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and is responsible for undertaking </w:t>
      </w:r>
      <w:r w:rsidRPr="00AA0B9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regular preventive visits to places of detention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within the ACT under the </w:t>
      </w:r>
      <w:r w:rsidRPr="00AA0B9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Optional Protocol to the Convention Against Torture and Other Cruel, Inhuman or Degrading Treatment or Punishment (OPCAT)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. </w:t>
      </w:r>
    </w:p>
    <w:p w14:paraId="13FC05FA" w14:textId="3DD3FC88" w:rsidR="00930D2F" w:rsidRPr="00AE334A" w:rsidRDefault="00930D2F" w:rsidP="003F724F">
      <w:pPr>
        <w:pStyle w:val="Bullets"/>
        <w:numPr>
          <w:ilvl w:val="0"/>
          <w:numId w:val="0"/>
        </w:numPr>
        <w:spacing w:after="0"/>
      </w:pPr>
      <w:r>
        <w:rPr>
          <w:rFonts w:eastAsia="Calibri" w:cs="Poppins"/>
          <w:kern w:val="2"/>
          <w:szCs w:val="24"/>
          <w:lang w:eastAsia="en-GB"/>
          <w14:ligatures w14:val="standardContextual"/>
        </w:rPr>
        <w:t xml:space="preserve">The visiting team consisted of </w:t>
      </w:r>
      <w:r>
        <w:t xml:space="preserve">Rebecca Minty, ACT Custodial Inspector; Iain Anderson, ACT Ombudsman; Pene Mathew, ACT Human Rights Commissioner; and Jodie Griffiths-Cook, </w:t>
      </w:r>
      <w:r w:rsidRPr="00BC2EEC">
        <w:t>ACT Public Advocate and Children and Young People Commissioner</w:t>
      </w:r>
      <w:r>
        <w:t xml:space="preserve"> </w:t>
      </w:r>
    </w:p>
    <w:p w14:paraId="0395F6AE" w14:textId="72AFECDA" w:rsidR="002542C7" w:rsidRDefault="00F52FB9" w:rsidP="0092271A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Since March 2025</w:t>
      </w:r>
      <w:r w:rsidR="00855AC5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,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the Bimberi Youth Justice Centre has experienced a </w:t>
      </w:r>
      <w:r w:rsidRPr="00DD3212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sustained increase in the number of young people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detained there. </w:t>
      </w:r>
      <w:r w:rsidR="0092271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The visit focused on</w:t>
      </w:r>
      <w:r w:rsidR="00DD3212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what this is meaning for </w:t>
      </w:r>
      <w:r w:rsidR="00DD3212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the</w:t>
      </w:r>
      <w:r w:rsidR="0092271A" w:rsidRPr="0092271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</w:t>
      </w:r>
      <w:r w:rsidR="00DD3212" w:rsidRPr="00DD3212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treatment of young people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in detention</w:t>
      </w:r>
      <w:r w:rsidR="00EC4ED6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.</w:t>
      </w:r>
    </w:p>
    <w:p w14:paraId="1FDFB5C1" w14:textId="1FACE262" w:rsidR="000150FE" w:rsidRPr="000150FE" w:rsidRDefault="002542C7" w:rsidP="000150FE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The</w:t>
      </w:r>
      <w:r w:rsidR="00AE334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team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engaged with management, staff</w:t>
      </w:r>
      <w:r w:rsidR="00855AC5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,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and young people throughout the visit</w:t>
      </w:r>
      <w:r w:rsidR="00E150B0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. </w:t>
      </w:r>
      <w:r w:rsidR="00930D2F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The ACT NPM will provide its findings to government. A 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summary report</w:t>
      </w:r>
      <w:r w:rsidR="00AE334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,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outlining </w:t>
      </w:r>
      <w:r w:rsidR="000150FE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findings 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and</w:t>
      </w:r>
      <w:r w:rsidR="000150FE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any recommendations</w:t>
      </w:r>
      <w:r w:rsidR="00AE334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,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</w:t>
      </w:r>
      <w:r w:rsidR="0063713B" w:rsidRP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will be made available i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n due course. </w:t>
      </w:r>
    </w:p>
    <w:p w14:paraId="02ECD8F4" w14:textId="4450BAD4" w:rsidR="006979A0" w:rsidRDefault="006979A0" w:rsidP="0092271A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The ACT NPM notes the </w:t>
      </w:r>
      <w:r w:rsidRPr="006979A0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Custodial Inspector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undertook a comprehensive </w:t>
      </w:r>
      <w:hyperlink r:id="rId9" w:history="1">
        <w:r w:rsidRPr="006979A0">
          <w:rPr>
            <w:rStyle w:val="Hyperlink"/>
            <w:rFonts w:ascii="Poppins" w:eastAsia="Calibri" w:hAnsi="Poppins" w:cs="Poppins"/>
            <w:kern w:val="2"/>
            <w:sz w:val="22"/>
            <w:szCs w:val="24"/>
            <w:lang w:eastAsia="en-GB"/>
            <w14:ligatures w14:val="standardContextual"/>
          </w:rPr>
          <w:t>Healthy Centre Review</w:t>
        </w:r>
      </w:hyperlink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that was tabled in </w:t>
      </w:r>
      <w:r w:rsidR="00C41BE9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December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 2024. The review looked at all aspects of treatment and care for young people and made several recommendations. </w:t>
      </w:r>
      <w:r w:rsidR="00AE334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A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response </w:t>
      </w:r>
      <w:r w:rsidR="00855AC5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to this review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from the ACT Government is still forthcoming</w:t>
      </w:r>
      <w:r w:rsidR="00930D2F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. T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he ACT NPM </w:t>
      </w:r>
      <w:r w:rsidR="0022117F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calls on 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the ACT Government to respond to the </w:t>
      </w:r>
      <w:r w:rsidR="00AE334A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>recommendations</w:t>
      </w:r>
      <w:r w:rsidR="0063713B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.  </w:t>
      </w:r>
    </w:p>
    <w:p w14:paraId="0123D7FE" w14:textId="26875CDF" w:rsidR="00F518E6" w:rsidRPr="0063713B" w:rsidRDefault="002542C7" w:rsidP="0063713B">
      <w:pPr>
        <w:spacing w:before="240" w:after="240" w:line="276" w:lineRule="auto"/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</w:pP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The ACT NPM appreciates the cooperation provided by the Community Services Directorate </w:t>
      </w:r>
      <w:r w:rsidR="00855AC5"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in facilitating </w:t>
      </w:r>
      <w:r>
        <w:rPr>
          <w:rFonts w:ascii="Poppins" w:eastAsia="Calibri" w:hAnsi="Poppins" w:cs="Poppins"/>
          <w:kern w:val="2"/>
          <w:sz w:val="22"/>
          <w:szCs w:val="24"/>
          <w:lang w:eastAsia="en-GB"/>
          <w14:ligatures w14:val="standardContextual"/>
        </w:rPr>
        <w:t xml:space="preserve">this visit and acknowledges the young people and staff who engaged with the team. </w:t>
      </w:r>
    </w:p>
    <w:p w14:paraId="431BF315" w14:textId="16F27CD2" w:rsidR="00855D2D" w:rsidRPr="0063713B" w:rsidRDefault="00EC4ED6" w:rsidP="0063713B">
      <w:pPr>
        <w:spacing w:line="276" w:lineRule="auto"/>
        <w:jc w:val="center"/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</w:pPr>
      <w:r w:rsidRPr="00F518E6">
        <w:rPr>
          <w:rFonts w:ascii="Poppins" w:eastAsia="Calibri" w:hAnsi="Poppins" w:cs="Poppins"/>
          <w:b/>
          <w:bCs/>
          <w:kern w:val="2"/>
          <w:sz w:val="22"/>
          <w:szCs w:val="22"/>
          <w:lang w:eastAsia="en-GB"/>
          <w14:ligatures w14:val="standardContextual"/>
        </w:rPr>
        <w:t xml:space="preserve">Media contact: </w:t>
      </w:r>
      <w:r w:rsidR="00A732B4" w:rsidRPr="00F518E6"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>ACT Ombudsman,</w:t>
      </w:r>
      <w:r w:rsidR="00D46B7B">
        <w:rPr>
          <w:rFonts w:ascii="Poppins" w:eastAsia="Calibri" w:hAnsi="Poppins" w:cs="Poppins"/>
          <w:kern w:val="2"/>
          <w:sz w:val="22"/>
          <w:szCs w:val="22"/>
          <w:lang w:eastAsia="en-GB"/>
          <w14:ligatures w14:val="standardContextual"/>
        </w:rPr>
        <w:t xml:space="preserve"> </w:t>
      </w:r>
      <w:hyperlink r:id="rId10" w:history="1">
        <w:r w:rsidR="00D46B7B" w:rsidRPr="00D5152B">
          <w:rPr>
            <w:rStyle w:val="Hyperlink"/>
            <w:rFonts w:ascii="Poppins" w:eastAsia="Calibri" w:hAnsi="Poppins" w:cs="Poppins"/>
            <w:kern w:val="2"/>
            <w:sz w:val="22"/>
            <w:szCs w:val="22"/>
            <w:lang w:eastAsia="en-GB"/>
            <w14:ligatures w14:val="standardContextual"/>
          </w:rPr>
          <w:t>media@ombudsman.gov.au</w:t>
        </w:r>
      </w:hyperlink>
      <w:bookmarkEnd w:id="0"/>
    </w:p>
    <w:sectPr w:rsidR="00855D2D" w:rsidRPr="0063713B" w:rsidSect="0092271A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3" w:right="1134" w:bottom="709" w:left="1134" w:header="568" w:footer="5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7CFB" w14:textId="77777777" w:rsidR="00513EA1" w:rsidRDefault="00513EA1" w:rsidP="0092271A">
      <w:r>
        <w:separator/>
      </w:r>
    </w:p>
  </w:endnote>
  <w:endnote w:type="continuationSeparator" w:id="0">
    <w:p w14:paraId="553D49AD" w14:textId="77777777" w:rsidR="00513EA1" w:rsidRDefault="00513EA1" w:rsidP="0092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1AB6" w14:textId="7B267B22" w:rsidR="00EC4ED6" w:rsidRDefault="00EC4ED6">
    <w:pPr>
      <w:pStyle w:val="Foo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14BF96A4" wp14:editId="1502DB89">
          <wp:extent cx="4337288" cy="585972"/>
          <wp:effectExtent l="0" t="0" r="0" b="0"/>
          <wp:docPr id="1652184741" name="Picture 9" descr="A black rectang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 descr="A black rectangle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4096" cy="596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89A9" w14:textId="0E90ED77" w:rsidR="00EC4ED6" w:rsidRDefault="00EC4ED6">
    <w:pPr>
      <w:pStyle w:val="Foo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77733C7" wp14:editId="630A3D2C">
          <wp:extent cx="4337288" cy="585972"/>
          <wp:effectExtent l="0" t="0" r="0" b="0"/>
          <wp:docPr id="3" name="Picture 9" descr="A black rectang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 descr="A black rectangle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4096" cy="596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68F4" w14:textId="77777777" w:rsidR="00513EA1" w:rsidRDefault="00513EA1" w:rsidP="0092271A">
      <w:r>
        <w:separator/>
      </w:r>
    </w:p>
  </w:footnote>
  <w:footnote w:type="continuationSeparator" w:id="0">
    <w:p w14:paraId="79F2A36D" w14:textId="77777777" w:rsidR="00513EA1" w:rsidRDefault="00513EA1" w:rsidP="0092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EBAE" w14:textId="71D2D4B1" w:rsidR="00D87FDC" w:rsidRDefault="00D315B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0367DC4" wp14:editId="40AEAA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20644881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8179E" w14:textId="255EDF8B" w:rsidR="00D315B1" w:rsidRPr="00D315B1" w:rsidRDefault="00D315B1" w:rsidP="00D315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315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67D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2568179E" w14:textId="255EDF8B" w:rsidR="00D315B1" w:rsidRPr="00D315B1" w:rsidRDefault="00D315B1" w:rsidP="00D315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315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426" w:type="dxa"/>
      <w:tblLook w:val="0000" w:firstRow="0" w:lastRow="0" w:firstColumn="0" w:lastColumn="0" w:noHBand="0" w:noVBand="0"/>
    </w:tblPr>
    <w:tblGrid>
      <w:gridCol w:w="2171"/>
      <w:gridCol w:w="1129"/>
      <w:gridCol w:w="6803"/>
      <w:gridCol w:w="813"/>
    </w:tblGrid>
    <w:tr w:rsidR="00EC4ED6" w:rsidRPr="00EC4ED6" w14:paraId="0219C86D" w14:textId="77777777" w:rsidTr="00CE078A">
      <w:trPr>
        <w:gridAfter w:val="1"/>
        <w:wAfter w:w="813" w:type="dxa"/>
        <w:cantSplit/>
        <w:trHeight w:val="1258"/>
      </w:trPr>
      <w:tc>
        <w:tcPr>
          <w:tcW w:w="2171" w:type="dxa"/>
          <w:vMerge w:val="restart"/>
        </w:tcPr>
        <w:p w14:paraId="64AF00A5" w14:textId="6185F771" w:rsidR="00EC4ED6" w:rsidRPr="00EC4ED6" w:rsidRDefault="00EC4ED6" w:rsidP="00EC4ED6">
          <w:pPr>
            <w:pStyle w:val="Header"/>
          </w:pPr>
          <w:r w:rsidRPr="00EC4ED6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E843C57" wp14:editId="6B72951F">
                <wp:simplePos x="0" y="0"/>
                <wp:positionH relativeFrom="column">
                  <wp:posOffset>-22860</wp:posOffset>
                </wp:positionH>
                <wp:positionV relativeFrom="paragraph">
                  <wp:posOffset>149448</wp:posOffset>
                </wp:positionV>
                <wp:extent cx="1400111" cy="667240"/>
                <wp:effectExtent l="0" t="0" r="0" b="0"/>
                <wp:wrapNone/>
                <wp:docPr id="7" name="Picture 7" descr="A blue and yellow logo with a flow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and yellow logo with a flower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11" cy="667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29" w:type="dxa"/>
        </w:tcPr>
        <w:p w14:paraId="28B8B7BF" w14:textId="77777777" w:rsidR="00EC4ED6" w:rsidRPr="00EC4ED6" w:rsidRDefault="00EC4ED6" w:rsidP="00EC4ED6">
          <w:pPr>
            <w:pStyle w:val="Header"/>
          </w:pPr>
        </w:p>
      </w:tc>
      <w:tc>
        <w:tcPr>
          <w:tcW w:w="6803" w:type="dxa"/>
        </w:tcPr>
        <w:p w14:paraId="516DF340" w14:textId="77777777" w:rsidR="00EC4ED6" w:rsidRPr="00EC4ED6" w:rsidRDefault="00EC4ED6" w:rsidP="00EC4ED6">
          <w:pPr>
            <w:pStyle w:val="Header"/>
          </w:pPr>
          <w:r w:rsidRPr="00EC4ED6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E96E7D0" wp14:editId="4E47DF18">
                <wp:simplePos x="0" y="0"/>
                <wp:positionH relativeFrom="column">
                  <wp:posOffset>1902681</wp:posOffset>
                </wp:positionH>
                <wp:positionV relativeFrom="paragraph">
                  <wp:posOffset>44837</wp:posOffset>
                </wp:positionV>
                <wp:extent cx="2711395" cy="899479"/>
                <wp:effectExtent l="0" t="0" r="0" b="0"/>
                <wp:wrapNone/>
                <wp:docPr id="8" name="Picture 8" descr="HRC_AC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RC_AC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751" cy="900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C4ED6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64685F8" wp14:editId="4A8E444C">
                <wp:simplePos x="0" y="0"/>
                <wp:positionH relativeFrom="margin">
                  <wp:posOffset>-391160</wp:posOffset>
                </wp:positionH>
                <wp:positionV relativeFrom="paragraph">
                  <wp:posOffset>248285</wp:posOffset>
                </wp:positionV>
                <wp:extent cx="2129155" cy="369061"/>
                <wp:effectExtent l="0" t="0" r="4445" b="0"/>
                <wp:wrapNone/>
                <wp:docPr id="9" name="Picture 9" descr="Logo of the Australian Capital Territory Ombudsm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 descr="Logo of the Australian Capital Territory Ombudsma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9155" cy="369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C4ED6" w:rsidRPr="00EC4ED6" w14:paraId="0F2EB937" w14:textId="77777777" w:rsidTr="00CE078A">
      <w:trPr>
        <w:cantSplit/>
        <w:trHeight w:val="453"/>
      </w:trPr>
      <w:tc>
        <w:tcPr>
          <w:tcW w:w="2171" w:type="dxa"/>
          <w:vMerge/>
        </w:tcPr>
        <w:p w14:paraId="322ABFD6" w14:textId="77777777" w:rsidR="00EC4ED6" w:rsidRPr="00EC4ED6" w:rsidRDefault="00EC4ED6" w:rsidP="00EC4ED6">
          <w:pPr>
            <w:pStyle w:val="Header"/>
          </w:pPr>
        </w:p>
      </w:tc>
      <w:tc>
        <w:tcPr>
          <w:tcW w:w="1129" w:type="dxa"/>
        </w:tcPr>
        <w:p w14:paraId="2D0E3E1A" w14:textId="77777777" w:rsidR="00EC4ED6" w:rsidRPr="00EC4ED6" w:rsidRDefault="00EC4ED6" w:rsidP="00EC4ED6">
          <w:pPr>
            <w:pStyle w:val="Header"/>
          </w:pPr>
        </w:p>
      </w:tc>
      <w:tc>
        <w:tcPr>
          <w:tcW w:w="7616" w:type="dxa"/>
          <w:gridSpan w:val="2"/>
        </w:tcPr>
        <w:p w14:paraId="16712F42" w14:textId="77777777" w:rsidR="00EC4ED6" w:rsidRPr="00EC4ED6" w:rsidRDefault="00EC4ED6" w:rsidP="00EC4ED6">
          <w:pPr>
            <w:pStyle w:val="Header"/>
          </w:pPr>
        </w:p>
      </w:tc>
    </w:tr>
  </w:tbl>
  <w:p w14:paraId="5D4EEFED" w14:textId="087B4F41" w:rsidR="00D87FDC" w:rsidRPr="00B55077" w:rsidRDefault="00D87FDC" w:rsidP="00B550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3BE1"/>
    <w:multiLevelType w:val="hybridMultilevel"/>
    <w:tmpl w:val="E124C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F4A"/>
    <w:multiLevelType w:val="hybridMultilevel"/>
    <w:tmpl w:val="B48CF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C4F81"/>
    <w:multiLevelType w:val="hybridMultilevel"/>
    <w:tmpl w:val="97AA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30AAA"/>
    <w:multiLevelType w:val="hybridMultilevel"/>
    <w:tmpl w:val="7A8E338C"/>
    <w:lvl w:ilvl="0" w:tplc="D9367E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A43DC"/>
    <w:multiLevelType w:val="hybridMultilevel"/>
    <w:tmpl w:val="FE967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570E7"/>
    <w:multiLevelType w:val="hybridMultilevel"/>
    <w:tmpl w:val="0C22D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14A87"/>
    <w:multiLevelType w:val="hybridMultilevel"/>
    <w:tmpl w:val="AC0E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C6414"/>
    <w:multiLevelType w:val="hybridMultilevel"/>
    <w:tmpl w:val="213C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4087">
    <w:abstractNumId w:val="7"/>
  </w:num>
  <w:num w:numId="2" w16cid:durableId="2042197866">
    <w:abstractNumId w:val="4"/>
  </w:num>
  <w:num w:numId="3" w16cid:durableId="614291105">
    <w:abstractNumId w:val="0"/>
  </w:num>
  <w:num w:numId="4" w16cid:durableId="773019101">
    <w:abstractNumId w:val="2"/>
  </w:num>
  <w:num w:numId="5" w16cid:durableId="729496877">
    <w:abstractNumId w:val="1"/>
  </w:num>
  <w:num w:numId="6" w16cid:durableId="760106169">
    <w:abstractNumId w:val="3"/>
  </w:num>
  <w:num w:numId="7" w16cid:durableId="1405839893">
    <w:abstractNumId w:val="5"/>
  </w:num>
  <w:num w:numId="8" w16cid:durableId="1311254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1A"/>
    <w:rsid w:val="000050DA"/>
    <w:rsid w:val="000146DF"/>
    <w:rsid w:val="000150FE"/>
    <w:rsid w:val="00022F0F"/>
    <w:rsid w:val="00034CBF"/>
    <w:rsid w:val="0005364E"/>
    <w:rsid w:val="00184D63"/>
    <w:rsid w:val="001C46C0"/>
    <w:rsid w:val="001D00F9"/>
    <w:rsid w:val="0022117F"/>
    <w:rsid w:val="002542C7"/>
    <w:rsid w:val="00267967"/>
    <w:rsid w:val="002A4D70"/>
    <w:rsid w:val="003175D7"/>
    <w:rsid w:val="00391F9D"/>
    <w:rsid w:val="003F5115"/>
    <w:rsid w:val="003F724F"/>
    <w:rsid w:val="00437CD5"/>
    <w:rsid w:val="00513EA1"/>
    <w:rsid w:val="00593443"/>
    <w:rsid w:val="0063713B"/>
    <w:rsid w:val="00644A18"/>
    <w:rsid w:val="006831E3"/>
    <w:rsid w:val="006979A0"/>
    <w:rsid w:val="007C55F2"/>
    <w:rsid w:val="007D29FD"/>
    <w:rsid w:val="007F53DD"/>
    <w:rsid w:val="00855AC5"/>
    <w:rsid w:val="00855D2D"/>
    <w:rsid w:val="008F22D5"/>
    <w:rsid w:val="0092271A"/>
    <w:rsid w:val="00930D2F"/>
    <w:rsid w:val="009B1034"/>
    <w:rsid w:val="009C5ED3"/>
    <w:rsid w:val="00A2292C"/>
    <w:rsid w:val="00A64EA9"/>
    <w:rsid w:val="00A732B4"/>
    <w:rsid w:val="00AE334A"/>
    <w:rsid w:val="00B44573"/>
    <w:rsid w:val="00B55077"/>
    <w:rsid w:val="00BE114B"/>
    <w:rsid w:val="00BE63EA"/>
    <w:rsid w:val="00C41BE9"/>
    <w:rsid w:val="00C73A9B"/>
    <w:rsid w:val="00CE4F09"/>
    <w:rsid w:val="00D315B1"/>
    <w:rsid w:val="00D46B7B"/>
    <w:rsid w:val="00D53074"/>
    <w:rsid w:val="00D87FDC"/>
    <w:rsid w:val="00DB61C0"/>
    <w:rsid w:val="00DD3212"/>
    <w:rsid w:val="00DF1B97"/>
    <w:rsid w:val="00E10A91"/>
    <w:rsid w:val="00E150B0"/>
    <w:rsid w:val="00E34FA9"/>
    <w:rsid w:val="00E537CB"/>
    <w:rsid w:val="00E5657F"/>
    <w:rsid w:val="00EC4ED6"/>
    <w:rsid w:val="00ED4665"/>
    <w:rsid w:val="00EF6F8B"/>
    <w:rsid w:val="00F40E97"/>
    <w:rsid w:val="00F518E6"/>
    <w:rsid w:val="00F52FB9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036BC"/>
  <w15:chartTrackingRefBased/>
  <w15:docId w15:val="{F9BE6DBB-F02F-48F8-B0EF-AD17FE06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1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71A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rsid w:val="0092271A"/>
    <w:rPr>
      <w:rFonts w:cs="Arial"/>
    </w:rPr>
  </w:style>
  <w:style w:type="character" w:styleId="PageNumber">
    <w:name w:val="page number"/>
    <w:basedOn w:val="DefaultParagraphFont"/>
    <w:rsid w:val="0092271A"/>
  </w:style>
  <w:style w:type="paragraph" w:styleId="Footer">
    <w:name w:val="footer"/>
    <w:basedOn w:val="Normal"/>
    <w:link w:val="FooterChar"/>
    <w:uiPriority w:val="99"/>
    <w:rsid w:val="009227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7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9227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71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2271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7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7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2271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22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0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0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0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F53D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ullets">
    <w:name w:val="Bullets"/>
    <w:basedOn w:val="Normal"/>
    <w:qFormat/>
    <w:rsid w:val="00AE334A"/>
    <w:pPr>
      <w:numPr>
        <w:numId w:val="6"/>
      </w:numPr>
      <w:spacing w:after="120" w:line="276" w:lineRule="auto"/>
      <w:ind w:left="714" w:hanging="357"/>
    </w:pPr>
    <w:rPr>
      <w:rFonts w:ascii="Poppins" w:hAnsi="Poppins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pm.act.gov.au/home" TargetMode="Externa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media@ombudsman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ics.act.gov.au/__data/assets/pdf_file/0007/2623741/ACT-OICS-Healthy-Centre-Review-of-Bimberi-2024_FA_TAGGED.pdf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2.xml" Id="R194c959ff6aa483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UNKNOWN" version="1.0.0">
  <systemFields>
    <field name="Objective-Id">
      <value order="0">A2486687</value>
    </field>
    <field name="Objective-Title">
      <value order="0">20250507 - Draft Media Statement - ACT NPM visit to Bimberi Youth Justice Centre copy</value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Caruana</dc:creator>
  <cp:keywords/>
  <dc:description/>
  <cp:lastModifiedBy>Georgia Ramsay</cp:lastModifiedBy>
  <cp:revision>10</cp:revision>
  <dcterms:created xsi:type="dcterms:W3CDTF">2025-05-06T02:53:00Z</dcterms:created>
  <dcterms:modified xsi:type="dcterms:W3CDTF">2025-05-07T23:30:00Z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6c8c0764,7b0d96fb,5ad60821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bbf0467-194f-41f9-8081-2850b327124b_Enabled">
    <vt:lpwstr>true</vt:lpwstr>
  </property>
  <property fmtid="{D5CDD505-2E9C-101B-9397-08002B2CF9AE}" pid="6" name="MSIP_Label_5bbf0467-194f-41f9-8081-2850b327124b_SetDate">
    <vt:lpwstr>2025-05-05T03:44:52Z</vt:lpwstr>
  </property>
  <property fmtid="{D5CDD505-2E9C-101B-9397-08002B2CF9AE}" pid="7" name="MSIP_Label_5bbf0467-194f-41f9-8081-2850b327124b_Method">
    <vt:lpwstr>Privileged</vt:lpwstr>
  </property>
  <property fmtid="{D5CDD505-2E9C-101B-9397-08002B2CF9AE}" pid="8" name="MSIP_Label_5bbf0467-194f-41f9-8081-2850b327124b_Name">
    <vt:lpwstr>Official</vt:lpwstr>
  </property>
  <property fmtid="{D5CDD505-2E9C-101B-9397-08002B2CF9AE}" pid="9" name="MSIP_Label_5bbf0467-194f-41f9-8081-2850b327124b_SiteId">
    <vt:lpwstr>443ee9e8-11ff-4c82-9e41-39331045260a</vt:lpwstr>
  </property>
  <property fmtid="{D5CDD505-2E9C-101B-9397-08002B2CF9AE}" pid="10" name="MSIP_Label_5bbf0467-194f-41f9-8081-2850b327124b_ActionId">
    <vt:lpwstr>fd7b33b0-a96c-4429-9496-4c6d28217833</vt:lpwstr>
  </property>
  <property fmtid="{D5CDD505-2E9C-101B-9397-08002B2CF9AE}" pid="11" name="MSIP_Label_5bbf0467-194f-41f9-8081-2850b327124b_ContentBits">
    <vt:lpwstr>1</vt:lpwstr>
  </property>
  <property fmtid="{D5CDD505-2E9C-101B-9397-08002B2CF9AE}" pid="12" name="MSIP_Label_5bbf0467-194f-41f9-8081-2850b327124b_Tag">
    <vt:lpwstr>10, 0, 1, 1</vt:lpwstr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2025-05-05T04:18:48Z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b70fcf17-5325-4f49-b790-14a28a314c35</vt:lpwstr>
  </property>
  <property fmtid="{D5CDD505-2E9C-101B-9397-08002B2CF9AE}" pid="19" name="MSIP_Label_69af8531-eb46-4968-8cb3-105d2f5ea87e_ContentBits">
    <vt:lpwstr>0</vt:lpwstr>
  </property>
  <property fmtid="{D5CDD505-2E9C-101B-9397-08002B2CF9AE}" pid="20" name="Objective-Id">
    <vt:lpwstr>A2486687</vt:lpwstr>
  </property>
  <property fmtid="{D5CDD505-2E9C-101B-9397-08002B2CF9AE}" pid="21" name="Objective-Title">
    <vt:lpwstr>Media Statement - ACT NPM visit to Bimberi Youth Justice Centre copy</vt:lpwstr>
  </property>
  <property fmtid="{D5CDD505-2E9C-101B-9397-08002B2CF9AE}" pid="22" name="Objective-Author - Internal">
    <vt:lpwstr>Steven Caruana</vt:lpwstr>
  </property>
  <property fmtid="{D5CDD505-2E9C-101B-9397-08002B2CF9AE}" pid="23" name="Objective-Agency">
    <vt:lpwstr/>
  </property>
  <property fmtid="{D5CDD505-2E9C-101B-9397-08002B2CF9AE}" pid="24" name="Objective-Date on Physical Item">
    <vt:lpwstr/>
  </property>
  <property fmtid="{D5CDD505-2E9C-101B-9397-08002B2CF9AE}" pid="25" name="Objective-Date Physical Item Digitised">
    <vt:lpwstr/>
  </property>
  <property fmtid="{D5CDD505-2E9C-101B-9397-08002B2CF9AE}" pid="26" name="Objective-Date Physical Item Destroyed">
    <vt:lpwstr/>
  </property>
  <property fmtid="{D5CDD505-2E9C-101B-9397-08002B2CF9AE}" pid="27" name="Objective-Physical Item Exists?">
    <vt:lpwstr>No</vt:lpwstr>
  </property>
  <property fmtid="{D5CDD505-2E9C-101B-9397-08002B2CF9AE}" pid="28" name="Objective-Signatory">
    <vt:lpwstr/>
  </property>
  <property fmtid="{D5CDD505-2E9C-101B-9397-08002B2CF9AE}" pid="29" name="Objective-Channel">
    <vt:lpwstr>Internal</vt:lpwstr>
  </property>
</Properties>
</file>